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45</w:t>
      </w:r>
    </w:p>
    <w:p>
      <w:r>
        <w:t>Bundesgericht (BGE), 2004-07-16, DE</w:t>
      </w:r>
    </w:p>
    <w:p>
      <w:r>
        <w:rPr>
          <w:b/>
        </w:rPr>
        <w:t xml:space="preserve">Quelle: </w:t>
      </w:r>
      <w:r>
        <w:t>https://mcp.opencaselaw.ch/entscheid/bge_136 V 45</w:t>
      </w:r>
    </w:p>
    <w:p>
      <w:r>
        <w:t>FR: ATF 136 V 45</w:t>
      </w:r>
    </w:p>
    <w:p>
      <w:r>
        <w:t>IT: DTF 136 V 45</w:t>
      </w:r>
    </w:p>
    <w:p>
      <w:pPr>
        <w:pStyle w:val="Heading2"/>
      </w:pPr>
      <w:r>
        <w:t>Regeste</w:t>
      </w:r>
    </w:p>
    <w:p>
      <w:r>
        <w:t>Regeste Art. 17 ATSG; Art. 88 bis Abs. 2 lit. a IVV; Wirkungszeitpunkt der reformatio in peius im Verfahren der erstmaligen Festsetzung einer Rente der Invalidenversicherung. Art. 88 bis Abs. 2 lit. a IVV ist auf die im Verfahren der erstmaligen, rückwirkenden Zusprechung einer abgestuften und/oder befristeten Rente der Invalidenversicherung vorgenommene reformatio in peius nicht analog anwendbar (E. 6.2).</w:t>
      </w:r>
    </w:p>
    <w:p>
      <w:pPr>
        <w:pStyle w:val="Heading2"/>
      </w:pPr>
      <w:r>
        <w:t>Erwägungen</w:t>
      </w:r>
    </w:p>
    <w:p>
      <w:r>
        <w:rPr>
          <w:b/>
        </w:rPr>
        <w:t>E. 5.3</w:t>
      </w:r>
    </w:p>
    <w:p>
      <w:r>
        <w:t>Einen Leistungsanspruch ab 1. April 2004 verneinte das vorinstanzliche Gericht zu Recht und der Invaliditätsgrad von 58 % berechtigt lediglich zu einer halben Rente ( Art. 28 Abs. 1 IVG in der bis zum 31. Dezember 2007 gültigen Fassung). Die im kantonalen Verwaltungsgerichtsverfahren vorgenommene Schlechterstellung (reformatio in peius) ist so gesehen begründet. Die Versicherte rügt hingegen, eine reformatio in peius könne in analoger Anwendung von Art. 88 bis Abs. 2 lit. a IVV (SR 831.201) frühestens auf den Zeitpunkt der Fällung des angefochtenen Entscheids vom 24. März 2009 erfolgen, weshalb die von der Vorinstanz ab 1. Juni 2005 zugesprochene halbe Invalidenrente verbunden mit der Aufhebung der BGE 136 V 45 S. 47 ganzen Rente ab 1. April 2004 unzulässig sei. Sie beruft sich dabei auf die bundesgerichtliche Rechtsprechung (SZS 2009 S. 133, 9C_58/2008 E. 7.1).</w:t>
      </w:r>
    </w:p>
    <w:p>
      <w:r>
        <w:rPr>
          <w:b/>
        </w:rPr>
        <w:t>E. 6.1</w:t>
      </w:r>
    </w:p>
    <w:p>
      <w:r>
        <w:t>Nach der Rechtsprechung ist bei einer revisionsweisen Herabsetzung einer Rente im Falle einer reformatio in peius durch die Beschwerdeinstanz Art. 88 bis Abs. 2 IVV analog anwendbar ( BGE 107 V 17 E. 3b S. 23; AHI 2000 S. 303, I 225/99 E. 3; Urteil I 27/07 vom 24. Januar 2008 E. 8). Demzufolge darf die Herabsetzung oder Aufhebung einer Rente bei Versicherten, welche die Leistung weder unrechtmässig erwirkt noch die Meldepflicht verletzt haben, nur für die Zukunft erfolgen ( Art. 88 bis Abs. 2 lit. a IVV ). Bei gerichtlicher Rentenherabsetzung oder -aufhebung wird die Änderung auf den ersten Tag des zweiten Monats wirksam, der der Zustellung des Urteils folgt (BGE, a.a.O.; erwähntes Urteil 9C_58/2008 vom 29. Oktober 2008).</w:t>
      </w:r>
    </w:p>
    <w:p>
      <w:r>
        <w:rPr>
          <w:b/>
        </w:rPr>
        <w:t>E. 6.2</w:t>
      </w:r>
    </w:p>
    <w:p>
      <w:r>
        <w:t>Zwar ist die rechtskräftig zugesprochene Invalidenrente einer revisionsweisen Abänderung zugänglich ( Art. 17 Abs. 1 ATSG [SR 830.1]), hingegen sieht Art. 88 bis Abs. 2 lit. a IVV verfahrensrechtlich die Herabsetzung oder Aufhebung der Rente nur pro futuro vor. Die ratio legis der Bestimmung liegt darin, dass die versicherte Person nicht wegen einer rückwirkenden Reduktion oder Einstellung einer Invalidenrente Geldleistungen zurückzahlen soll, welche sie aufgrund eines rechtskräftigen Rentenentscheids gutgläubig bezogen hat. Zudem will ihr die Bestimmung Zeit zur Anpassung an die neuen finanziellen Verhältnisse geben (Urteil 8C_763/2008 vom 19. Juni 2009 E. 5, nicht publ. in: BGE 135 V 306 ; BGE 133 V 67 E. 4.3.5 S. 70; ZAK 1982 S. 336). Eine rückwirkende Herabsetzung oder Aufhebung der Rente mittels Revision lässt hingegen Art. 88 bis Abs. 2 lit. b IVV ausnahmsweise zu, wenn die unrichtige Ausrichtung einer Leistung darauf zurückzuführen ist, dass der Bezüger sie unrechtmässig erwirkt hat oder der ihm gemäss Art. 77 IVV zumutbaren Meldepflicht nicht nachgekommen ist. Art. 88 bis IVV gilt im Zusammenhang mit der Revision einer Rente. Anders ist die Rechtslage bei der ursprünglichen Rentenfestsetzung: Erst mit in Rechtskraft erwachsenem Entscheid entsteht ein rechtlich durchsetzbarer Anspruch auf Leistungen der Invalidenversicherung. Sofern die versicherte Person den Rechtsweg gegen eine Rentenverfügung beschreitet, muss sie mit Blick auf Art. 61 lit. d ATSG , wonach im kantonalen Verfahren eine reformatio in peius zulässig ist, mit einer Schlechterstellung rechnen, welche den Streitgegenstand auch in zeitlicher Hinsicht BGE 136 V 45 S. 48 umfasst ( BGE 125 V 413 E. 2d S. 417; statt vieler Urteile: 9C_371/2009 vom 21. August 2009; 9C_29/2007 vom 4. Februar 2008 E. 2.2; Urteil des Eidg. Versicherungsgerichts I 350/05 vom 29. September 2005). Wegen einer in peius abgeänderten Verfügung nachträglich zu Unrecht bezogene Rentenleistungen unterliegen der Rückerstattungspflicht, welcher namentlich die Gutgläubigkeit des Rentenbezügers nicht entgegensteht ( Art. 25 ATSG und Art. 4 ATSV [SR 830.11]; Urteil 9C_805/2008 vom 13. März 2009 E. 2.4). Zudem ist im Verfahren der erstmaligen Rentenfestsetzung ein bestehender Rentenanspruch definitionsgemäss nicht berührt, sodass für eine Bestimmung wie Art. 88 bis Abs. 2 IVV - und sei dies nur in analoger Anwendung - kein Raum besteht. Die Versicherte befindet sich vertrauensschutzrechtlich nicht in der gleichen Position wie im Revisionsverfahren, wo eine bereits rechtskräftig zugesprochene Invalidenrente überprüft wird. Gemäss der ratio legis ist die analoge Anwendung von Art. 88 bis Abs. 2 lit. a IVV auf die reformatio in peius im erstinstanzlichen Beschwerdeverfahren betreffend die Revision der Invalidenrente nach Art. 17 ATSG zu beschränken.</w:t>
      </w:r>
    </w:p>
    <w:p>
      <w:r>
        <w:rPr>
          <w:b/>
        </w:rPr>
        <w:t>E. 6.3</w:t>
      </w:r>
    </w:p>
    <w:p>
      <w:r>
        <w:t>Die hier im Rahmen der erstmaligen Rentenfestsetzung rückwirkend erfolgte Schlechterstellung der Beschwerdeführerin ist daher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